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C63D5" w14:textId="046BD609" w:rsidR="00082CE8" w:rsidRPr="003909CC" w:rsidRDefault="00082CE8" w:rsidP="00082CE8">
      <w:pPr>
        <w:pStyle w:val="CRCoverPage"/>
        <w:tabs>
          <w:tab w:val="right" w:pos="9639"/>
        </w:tabs>
        <w:spacing w:after="0"/>
        <w:rPr>
          <w:b/>
          <w:noProof/>
          <w:sz w:val="24"/>
        </w:rPr>
      </w:pPr>
      <w:r>
        <w:rPr>
          <w:b/>
          <w:noProof/>
          <w:sz w:val="24"/>
        </w:rPr>
        <w:t>3GPP TSG SA1 Meeting #107</w:t>
      </w:r>
      <w:r>
        <w:rPr>
          <w:b/>
          <w:i/>
          <w:noProof/>
          <w:sz w:val="28"/>
        </w:rPr>
        <w:tab/>
      </w:r>
      <w:r w:rsidRPr="00563EBA">
        <w:rPr>
          <w:b/>
          <w:noProof/>
          <w:sz w:val="24"/>
        </w:rPr>
        <w:t>S</w:t>
      </w:r>
      <w:r>
        <w:rPr>
          <w:b/>
          <w:noProof/>
          <w:sz w:val="24"/>
        </w:rPr>
        <w:t>1</w:t>
      </w:r>
      <w:r w:rsidRPr="00563EBA">
        <w:rPr>
          <w:b/>
          <w:noProof/>
          <w:sz w:val="24"/>
        </w:rPr>
        <w:t>-2</w:t>
      </w:r>
      <w:r>
        <w:rPr>
          <w:b/>
          <w:noProof/>
          <w:sz w:val="24"/>
        </w:rPr>
        <w:t>42</w:t>
      </w:r>
      <w:r w:rsidR="003C2E34">
        <w:rPr>
          <w:b/>
          <w:noProof/>
          <w:sz w:val="24"/>
        </w:rPr>
        <w:t>038</w:t>
      </w:r>
    </w:p>
    <w:p w14:paraId="11C88A41" w14:textId="4B2EBE3E" w:rsidR="001E489F" w:rsidRPr="007861B8" w:rsidRDefault="00082CE8" w:rsidP="00082CE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bookmarkStart w:id="0" w:name="_Hlk21508611"/>
      <w:r>
        <w:rPr>
          <w:rFonts w:ascii="Arial" w:hAnsi="Arial"/>
          <w:b/>
          <w:noProof/>
          <w:sz w:val="24"/>
        </w:rPr>
        <w:t>Maastricht, Netherlands</w:t>
      </w:r>
      <w:r w:rsidRPr="00FE1846">
        <w:rPr>
          <w:rFonts w:ascii="Arial" w:hAnsi="Arial"/>
          <w:b/>
          <w:noProof/>
          <w:sz w:val="24"/>
        </w:rPr>
        <w:t xml:space="preserve">, </w:t>
      </w:r>
      <w:bookmarkEnd w:id="0"/>
      <w:r>
        <w:rPr>
          <w:rFonts w:ascii="Arial" w:eastAsia="MS Mincho" w:hAnsi="Arial" w:cs="Arial"/>
          <w:b/>
          <w:sz w:val="24"/>
          <w:szCs w:val="24"/>
        </w:rPr>
        <w:t>19-23 2024</w:t>
      </w:r>
      <w:r w:rsidR="001E489F" w:rsidRPr="006C2E80">
        <w:tab/>
      </w:r>
      <w:r w:rsidR="001E489F" w:rsidRPr="007861B8">
        <w:rPr>
          <w:rFonts w:ascii="Arial" w:hAnsi="Arial" w:cs="Arial"/>
          <w:b/>
          <w:noProof/>
          <w:lang w:eastAsia="zh-CN"/>
        </w:rPr>
        <w:t>(</w:t>
      </w:r>
      <w:r w:rsidR="001E489F" w:rsidRPr="00082CE8">
        <w:rPr>
          <w:rFonts w:ascii="Arial" w:hAnsi="Arial" w:cs="Arial"/>
          <w:b/>
          <w:noProof/>
          <w:color w:val="8EAADB" w:themeColor="accent1" w:themeTint="99"/>
          <w:lang w:eastAsia="zh-CN"/>
        </w:rPr>
        <w:t xml:space="preserve">revision of </w:t>
      </w:r>
      <w:r w:rsidR="00AB0C8D" w:rsidRPr="00082CE8">
        <w:rPr>
          <w:rFonts w:ascii="Arial" w:hAnsi="Arial" w:cs="Arial"/>
          <w:b/>
          <w:noProof/>
          <w:color w:val="8EAADB" w:themeColor="accent1" w:themeTint="99"/>
          <w:lang w:eastAsia="zh-CN"/>
        </w:rPr>
        <w:t>S1</w:t>
      </w:r>
      <w:r w:rsidR="001E489F" w:rsidRPr="00082CE8">
        <w:rPr>
          <w:rFonts w:ascii="Arial" w:hAnsi="Arial" w:cs="Arial"/>
          <w:b/>
          <w:noProof/>
          <w:color w:val="8EAADB" w:themeColor="accent1" w:themeTint="99"/>
          <w:lang w:eastAsia="zh-CN"/>
        </w:rPr>
        <w:t>-</w:t>
      </w:r>
      <w:r w:rsidR="00AB0C8D" w:rsidRPr="00082CE8">
        <w:rPr>
          <w:rFonts w:ascii="Arial" w:hAnsi="Arial" w:cs="Arial"/>
          <w:b/>
          <w:noProof/>
          <w:color w:val="8EAADB" w:themeColor="accent1" w:themeTint="99"/>
          <w:lang w:eastAsia="zh-CN"/>
        </w:rPr>
        <w:t>2</w:t>
      </w:r>
      <w:r w:rsidR="00497F38" w:rsidRPr="00082CE8">
        <w:rPr>
          <w:rFonts w:ascii="Arial" w:hAnsi="Arial" w:cs="Arial"/>
          <w:b/>
          <w:noProof/>
          <w:color w:val="8EAADB" w:themeColor="accent1" w:themeTint="99"/>
          <w:lang w:eastAsia="zh-CN"/>
        </w:rPr>
        <w:t>4</w:t>
      </w:r>
      <w:r w:rsidR="001E489F" w:rsidRPr="00082CE8">
        <w:rPr>
          <w:rFonts w:ascii="Arial" w:hAnsi="Arial" w:cs="Arial"/>
          <w:b/>
          <w:noProof/>
          <w:color w:val="8EAADB" w:themeColor="accent1" w:themeTint="99"/>
          <w:lang w:eastAsia="zh-CN"/>
        </w:rPr>
        <w:t>xxxx</w:t>
      </w:r>
      <w:r w:rsidR="001E489F" w:rsidRPr="007861B8">
        <w:rPr>
          <w:rFonts w:ascii="Arial"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598143E" w:rsidR="001E489F" w:rsidRPr="00657AF7" w:rsidRDefault="001E489F" w:rsidP="001E489F">
      <w:pPr>
        <w:tabs>
          <w:tab w:val="left" w:pos="2127"/>
        </w:tabs>
        <w:ind w:left="2127" w:hanging="2127"/>
        <w:jc w:val="both"/>
        <w:outlineLvl w:val="0"/>
        <w:rPr>
          <w:rFonts w:ascii="Arial" w:hAnsi="Arial"/>
          <w:b/>
          <w:sz w:val="22"/>
          <w:szCs w:val="24"/>
          <w:lang w:val="en-US" w:eastAsia="zh-CN"/>
        </w:rPr>
      </w:pPr>
      <w:r w:rsidRPr="00657AF7">
        <w:rPr>
          <w:rFonts w:ascii="Arial" w:hAnsi="Arial"/>
          <w:b/>
          <w:sz w:val="22"/>
          <w:szCs w:val="24"/>
          <w:lang w:val="en-US" w:eastAsia="zh-CN"/>
        </w:rPr>
        <w:t>Source:</w:t>
      </w:r>
      <w:r w:rsidRPr="00657AF7">
        <w:rPr>
          <w:rFonts w:ascii="Arial" w:hAnsi="Arial"/>
          <w:b/>
          <w:sz w:val="22"/>
          <w:szCs w:val="24"/>
          <w:lang w:val="en-US" w:eastAsia="zh-CN"/>
        </w:rPr>
        <w:tab/>
      </w:r>
      <w:r w:rsidR="00587754" w:rsidRPr="00657AF7">
        <w:rPr>
          <w:rFonts w:ascii="Arial" w:hAnsi="Arial"/>
          <w:b/>
          <w:sz w:val="22"/>
          <w:szCs w:val="24"/>
          <w:lang w:val="en-US" w:eastAsia="zh-CN"/>
        </w:rPr>
        <w:t>LG Electronics</w:t>
      </w:r>
    </w:p>
    <w:p w14:paraId="49D92DA3" w14:textId="250CCAA0" w:rsidR="001E489F" w:rsidRPr="00657AF7" w:rsidRDefault="001E489F" w:rsidP="001E489F">
      <w:pPr>
        <w:tabs>
          <w:tab w:val="left" w:pos="2127"/>
        </w:tabs>
        <w:ind w:left="2127" w:hanging="2127"/>
        <w:jc w:val="both"/>
        <w:outlineLvl w:val="0"/>
        <w:rPr>
          <w:rFonts w:ascii="Arial" w:hAnsi="Arial" w:cs="Arial"/>
          <w:b/>
          <w:sz w:val="22"/>
          <w:szCs w:val="24"/>
          <w:lang w:eastAsia="zh-CN"/>
        </w:rPr>
      </w:pPr>
      <w:r w:rsidRPr="00657AF7">
        <w:rPr>
          <w:rFonts w:ascii="Arial" w:hAnsi="Arial" w:cs="Arial"/>
          <w:b/>
          <w:sz w:val="22"/>
          <w:szCs w:val="24"/>
          <w:lang w:eastAsia="zh-CN"/>
        </w:rPr>
        <w:t>Title:</w:t>
      </w:r>
      <w:r w:rsidRPr="00657AF7">
        <w:rPr>
          <w:rFonts w:ascii="Arial" w:hAnsi="Arial" w:cs="Arial"/>
          <w:b/>
          <w:sz w:val="22"/>
          <w:szCs w:val="24"/>
          <w:lang w:eastAsia="zh-CN"/>
        </w:rPr>
        <w:tab/>
      </w:r>
      <w:r w:rsidR="00082CE8" w:rsidRPr="00657AF7">
        <w:rPr>
          <w:rFonts w:ascii="Arial" w:hAnsi="Arial" w:cs="Arial"/>
          <w:b/>
          <w:sz w:val="22"/>
          <w:szCs w:val="24"/>
          <w:lang w:eastAsia="zh-CN"/>
        </w:rPr>
        <w:t xml:space="preserve">Proposal for 6G area of interest – Internet of </w:t>
      </w:r>
      <w:r w:rsidR="001B7947">
        <w:rPr>
          <w:rFonts w:ascii="Arial" w:hAnsi="Arial" w:cs="Arial"/>
          <w:b/>
          <w:sz w:val="22"/>
          <w:szCs w:val="24"/>
          <w:lang w:eastAsia="zh-CN"/>
        </w:rPr>
        <w:t xml:space="preserve">Smart and Collaborative </w:t>
      </w:r>
      <w:r w:rsidR="00082CE8" w:rsidRPr="00657AF7">
        <w:rPr>
          <w:rFonts w:ascii="Arial" w:hAnsi="Arial" w:cs="Arial"/>
          <w:b/>
          <w:sz w:val="22"/>
          <w:szCs w:val="24"/>
          <w:lang w:eastAsia="zh-CN"/>
        </w:rPr>
        <w:t>Physical Systems (IoX)</w:t>
      </w:r>
      <w:r w:rsidR="00587754" w:rsidRPr="00657AF7">
        <w:rPr>
          <w:rFonts w:ascii="Arial" w:hAnsi="Arial" w:cs="Arial"/>
          <w:b/>
          <w:sz w:val="22"/>
          <w:szCs w:val="24"/>
          <w:lang w:eastAsia="zh-CN"/>
        </w:rPr>
        <w:t xml:space="preserve"> </w:t>
      </w:r>
    </w:p>
    <w:p w14:paraId="66ACF610" w14:textId="0B859C89" w:rsidR="001E489F" w:rsidRPr="00657AF7" w:rsidRDefault="001E489F" w:rsidP="001E489F">
      <w:pPr>
        <w:tabs>
          <w:tab w:val="left" w:pos="2127"/>
        </w:tabs>
        <w:ind w:left="2127" w:hanging="2127"/>
        <w:jc w:val="both"/>
        <w:outlineLvl w:val="0"/>
        <w:rPr>
          <w:rFonts w:ascii="Arial" w:hAnsi="Arial"/>
          <w:b/>
          <w:sz w:val="22"/>
          <w:szCs w:val="24"/>
          <w:lang w:val="en-US" w:eastAsia="zh-CN"/>
        </w:rPr>
      </w:pPr>
      <w:r w:rsidRPr="00657AF7">
        <w:rPr>
          <w:rFonts w:ascii="Arial" w:hAnsi="Arial"/>
          <w:b/>
          <w:sz w:val="22"/>
          <w:szCs w:val="24"/>
          <w:lang w:val="en-US" w:eastAsia="zh-CN"/>
        </w:rPr>
        <w:t>Document for:</w:t>
      </w:r>
      <w:r w:rsidRPr="00657AF7">
        <w:rPr>
          <w:rFonts w:ascii="Arial" w:hAnsi="Arial"/>
          <w:b/>
          <w:sz w:val="22"/>
          <w:szCs w:val="24"/>
          <w:lang w:val="en-US" w:eastAsia="zh-CN"/>
        </w:rPr>
        <w:tab/>
      </w:r>
      <w:r w:rsidR="00095388" w:rsidRPr="00657AF7">
        <w:rPr>
          <w:rFonts w:ascii="Arial" w:hAnsi="Arial"/>
          <w:b/>
          <w:sz w:val="22"/>
          <w:szCs w:val="24"/>
          <w:lang w:val="en-US" w:eastAsia="zh-CN"/>
        </w:rPr>
        <w:t>Discussion</w:t>
      </w:r>
      <w:r w:rsidR="00082CE8" w:rsidRPr="00657AF7">
        <w:rPr>
          <w:rFonts w:ascii="Arial" w:hAnsi="Arial"/>
          <w:b/>
          <w:sz w:val="22"/>
          <w:szCs w:val="24"/>
          <w:lang w:val="en-US" w:eastAsia="zh-CN"/>
        </w:rPr>
        <w:t xml:space="preserve"> and Agreement</w:t>
      </w:r>
    </w:p>
    <w:p w14:paraId="1468BC60" w14:textId="68C7BD7A" w:rsidR="001E489F" w:rsidRPr="00657AF7" w:rsidRDefault="001E489F" w:rsidP="001E489F">
      <w:pPr>
        <w:tabs>
          <w:tab w:val="left" w:pos="2127"/>
        </w:tabs>
        <w:ind w:left="2127" w:hanging="2127"/>
        <w:jc w:val="both"/>
        <w:outlineLvl w:val="0"/>
        <w:rPr>
          <w:rFonts w:ascii="Arial" w:hAnsi="Arial"/>
          <w:b/>
          <w:sz w:val="22"/>
          <w:szCs w:val="24"/>
          <w:lang w:val="en-US" w:eastAsia="zh-CN"/>
        </w:rPr>
      </w:pPr>
      <w:r w:rsidRPr="00657AF7">
        <w:rPr>
          <w:rFonts w:ascii="Arial" w:hAnsi="Arial"/>
          <w:b/>
          <w:sz w:val="22"/>
          <w:szCs w:val="24"/>
          <w:lang w:val="en-US" w:eastAsia="zh-CN"/>
        </w:rPr>
        <w:t xml:space="preserve">Agenda </w:t>
      </w:r>
      <w:r w:rsidR="00095388" w:rsidRPr="00657AF7">
        <w:rPr>
          <w:rFonts w:ascii="Arial" w:hAnsi="Arial"/>
          <w:b/>
          <w:sz w:val="22"/>
          <w:szCs w:val="24"/>
          <w:lang w:val="en-US" w:eastAsia="zh-CN"/>
        </w:rPr>
        <w:t>Item:</w:t>
      </w:r>
      <w:r w:rsidR="00095388" w:rsidRPr="00657AF7">
        <w:rPr>
          <w:rFonts w:ascii="Arial" w:hAnsi="Arial"/>
          <w:b/>
          <w:sz w:val="22"/>
          <w:szCs w:val="24"/>
          <w:lang w:val="en-US" w:eastAsia="zh-CN"/>
        </w:rPr>
        <w:tab/>
        <w:t>8</w:t>
      </w:r>
      <w:r w:rsidR="00082CE8" w:rsidRPr="00657AF7">
        <w:rPr>
          <w:rFonts w:ascii="Arial" w:hAnsi="Arial"/>
          <w:b/>
          <w:sz w:val="22"/>
          <w:szCs w:val="24"/>
          <w:lang w:val="en-US" w:eastAsia="zh-CN"/>
        </w:rPr>
        <w:t>.2 6G area of interest</w:t>
      </w:r>
    </w:p>
    <w:p w14:paraId="4276BC7C" w14:textId="11EC779D" w:rsidR="00A5418D" w:rsidRPr="00657AF7" w:rsidRDefault="00A5418D" w:rsidP="00A5418D">
      <w:pPr>
        <w:tabs>
          <w:tab w:val="left" w:pos="2127"/>
        </w:tabs>
        <w:ind w:left="2127" w:hanging="2127"/>
        <w:jc w:val="both"/>
        <w:outlineLvl w:val="0"/>
        <w:rPr>
          <w:rFonts w:ascii="Arial" w:hAnsi="Arial"/>
          <w:b/>
          <w:sz w:val="22"/>
          <w:szCs w:val="24"/>
          <w:lang w:val="en-US" w:eastAsia="zh-CN"/>
        </w:rPr>
      </w:pPr>
      <w:r w:rsidRPr="00657AF7">
        <w:rPr>
          <w:rFonts w:ascii="Arial" w:hAnsi="Arial"/>
          <w:b/>
          <w:sz w:val="22"/>
          <w:szCs w:val="24"/>
          <w:lang w:val="en-US" w:eastAsia="zh-CN"/>
        </w:rPr>
        <w:t>Contact:</w:t>
      </w:r>
      <w:r w:rsidRPr="00657AF7">
        <w:rPr>
          <w:rFonts w:ascii="Arial" w:hAnsi="Arial"/>
          <w:b/>
          <w:sz w:val="22"/>
          <w:szCs w:val="24"/>
          <w:lang w:val="en-US" w:eastAsia="zh-CN"/>
        </w:rPr>
        <w:tab/>
        <w:t>KI-Dong Lee</w:t>
      </w:r>
      <w:r w:rsidR="00036BE8" w:rsidRPr="00657AF7">
        <w:rPr>
          <w:rFonts w:ascii="Arial" w:hAnsi="Arial"/>
          <w:b/>
          <w:sz w:val="22"/>
          <w:szCs w:val="24"/>
          <w:lang w:val="en-US" w:eastAsia="zh-CN"/>
        </w:rPr>
        <w:t xml:space="preserve"> (kidong.lee (at) lge (dot) com</w:t>
      </w:r>
      <w:r w:rsidRPr="00657AF7">
        <w:rPr>
          <w:rFonts w:ascii="Arial" w:hAnsi="Arial"/>
          <w:b/>
          <w:sz w:val="22"/>
          <w:szCs w:val="24"/>
          <w:lang w:val="en-US" w:eastAsia="zh-CN"/>
        </w:rPr>
        <w:t>)</w:t>
      </w:r>
    </w:p>
    <w:p w14:paraId="110F6C52" w14:textId="77777777" w:rsidR="001E489F" w:rsidRPr="006C2E80" w:rsidRDefault="001E489F" w:rsidP="001E489F">
      <w:pPr>
        <w:pBdr>
          <w:bottom w:val="single" w:sz="6" w:space="1" w:color="auto"/>
        </w:pBdr>
        <w:rPr>
          <w:lang w:val="en-US" w:eastAsia="zh-CN"/>
        </w:rPr>
      </w:pPr>
    </w:p>
    <w:p w14:paraId="052451ED" w14:textId="77777777" w:rsidR="00095388" w:rsidRDefault="00095388" w:rsidP="001E489F">
      <w:pPr>
        <w:pStyle w:val="Guidance"/>
      </w:pPr>
    </w:p>
    <w:p w14:paraId="2A4184CD" w14:textId="6193A07E" w:rsidR="00095388" w:rsidRDefault="004747A9" w:rsidP="001E489F">
      <w:pPr>
        <w:pStyle w:val="Guidance"/>
        <w:rPr>
          <w:lang w:val="en-US"/>
        </w:rPr>
      </w:pPr>
      <w:r>
        <w:rPr>
          <w:lang w:val="en-US"/>
        </w:rPr>
        <w:t xml:space="preserve">Note: An earlier version of this paper was submitted in May (not presented). This paper is supplementary </w:t>
      </w:r>
      <w:r w:rsidR="00787771">
        <w:rPr>
          <w:lang w:val="en-US"/>
        </w:rPr>
        <w:t>to the main presentation slides in S1-242037 (or its revision, if any).</w:t>
      </w:r>
    </w:p>
    <w:p w14:paraId="306F501D" w14:textId="77777777" w:rsidR="006177EC" w:rsidRDefault="006177EC" w:rsidP="001E489F">
      <w:pPr>
        <w:pStyle w:val="Guidance"/>
      </w:pPr>
    </w:p>
    <w:p w14:paraId="46A31E2F" w14:textId="77777777" w:rsidR="00D12EDF" w:rsidRPr="00D12EDF" w:rsidRDefault="00D12EDF" w:rsidP="00D12EDF">
      <w:pPr>
        <w:pStyle w:val="Guidance"/>
        <w:numPr>
          <w:ilvl w:val="0"/>
          <w:numId w:val="15"/>
        </w:numPr>
        <w:rPr>
          <w:i w:val="0"/>
          <w:sz w:val="32"/>
        </w:rPr>
      </w:pPr>
      <w:r w:rsidRPr="00D12EDF">
        <w:rPr>
          <w:i w:val="0"/>
          <w:sz w:val="32"/>
        </w:rPr>
        <w:t>Background</w:t>
      </w:r>
      <w:r>
        <w:rPr>
          <w:i w:val="0"/>
          <w:sz w:val="32"/>
        </w:rPr>
        <w:t>, Societal and Economic Needs</w:t>
      </w:r>
    </w:p>
    <w:p w14:paraId="7AC9CC2F" w14:textId="01AA2534" w:rsidR="00D12EDF" w:rsidRDefault="00082CE8" w:rsidP="00D12EDF">
      <w:pPr>
        <w:pStyle w:val="Guidance"/>
        <w:rPr>
          <w:i w:val="0"/>
        </w:rPr>
      </w:pPr>
      <w:r>
        <w:rPr>
          <w:i w:val="0"/>
        </w:rPr>
        <w:t xml:space="preserve">The </w:t>
      </w:r>
      <w:r w:rsidRPr="00082CE8">
        <w:rPr>
          <w:i w:val="0"/>
        </w:rPr>
        <w:t>Release 19</w:t>
      </w:r>
      <w:r>
        <w:rPr>
          <w:i w:val="0"/>
        </w:rPr>
        <w:t xml:space="preserve"> Study on </w:t>
      </w:r>
      <w:r w:rsidRPr="00082CE8">
        <w:rPr>
          <w:i w:val="0"/>
        </w:rPr>
        <w:t>Network of Service Robots with Ambient Intelligence</w:t>
      </w:r>
      <w:r>
        <w:rPr>
          <w:i w:val="0"/>
        </w:rPr>
        <w:t xml:space="preserve"> (</w:t>
      </w:r>
      <w:r w:rsidRPr="00082CE8">
        <w:rPr>
          <w:i w:val="0"/>
        </w:rPr>
        <w:t>FS_SOBOT</w:t>
      </w:r>
      <w:r>
        <w:rPr>
          <w:i w:val="0"/>
        </w:rPr>
        <w:t>)</w:t>
      </w:r>
      <w:r w:rsidRPr="00082CE8">
        <w:rPr>
          <w:i w:val="0"/>
        </w:rPr>
        <w:t xml:space="preserve"> has explored the anticipated roles of emerging mobile and wireless communication systems in enhancing operational models for intelligent cyber-physical systems, specifically focusing on network-enabled service robots with ambient intelligence. The study emphasized two primary collaboration modes within a group operation framework. Ensuring consistent communication availability is crucial for optimizing the performance of robot groups. Additionally, identifying potential gaps and challenges underscores the importance of timely sharing event-related information to support more complex and advanced scenarios, referencing relevant studies and normative requirements. The objective of the study was to analyze potential gaps and challenges relevant to the 3GPP 5G system in supporting groups of service robots across various usage scenarios, considering spectrum utilization and the diverse needs of the robotics industry. The following are summaries of collected use cases in TR 22.916</w:t>
      </w:r>
      <w:r w:rsidR="00D12EDF">
        <w:rPr>
          <w:i w:val="0"/>
        </w:rPr>
        <w:t>:</w:t>
      </w:r>
    </w:p>
    <w:p w14:paraId="57CBF5D7" w14:textId="77777777" w:rsidR="00D12EDF" w:rsidRDefault="00D12EDF" w:rsidP="001E489F">
      <w:pPr>
        <w:pStyle w:val="Guidance"/>
        <w:rPr>
          <w:i w:val="0"/>
        </w:rPr>
      </w:pPr>
    </w:p>
    <w:p w14:paraId="5CBF98F6" w14:textId="6AA52CA6" w:rsidR="00082CE8" w:rsidRPr="00082CE8" w:rsidRDefault="00082CE8" w:rsidP="00082CE8">
      <w:pPr>
        <w:pStyle w:val="Guidance"/>
        <w:numPr>
          <w:ilvl w:val="0"/>
          <w:numId w:val="10"/>
        </w:numPr>
        <w:rPr>
          <w:i w:val="0"/>
        </w:rPr>
      </w:pPr>
      <w:r w:rsidRPr="00082CE8">
        <w:rPr>
          <w:i w:val="0"/>
        </w:rPr>
        <w:t>3D Map Construction (5.1): Energy-efficient robots collaborate to create detailed 3D maps for applications in cleaning, disinfection, and agriculture. These robots adapt to varying environmental conditions to ensure accuracy while managing resources efficiently.</w:t>
      </w:r>
    </w:p>
    <w:p w14:paraId="0A64DC65" w14:textId="15D5D55A" w:rsidR="00082CE8" w:rsidRPr="00082CE8" w:rsidRDefault="00082CE8" w:rsidP="00082CE8">
      <w:pPr>
        <w:pStyle w:val="Guidance"/>
        <w:numPr>
          <w:ilvl w:val="0"/>
          <w:numId w:val="10"/>
        </w:numPr>
        <w:rPr>
          <w:i w:val="0"/>
        </w:rPr>
      </w:pPr>
      <w:r w:rsidRPr="00082CE8">
        <w:rPr>
          <w:i w:val="0"/>
        </w:rPr>
        <w:t>Strengthening Security (5.2): Robots work alongside security personnel to patrol areas, identify targets, and report alarms. This collaboration ensures a rapid response through synchronized transmission, significantly enhancing overall security measures.</w:t>
      </w:r>
    </w:p>
    <w:p w14:paraId="5BA1A57F" w14:textId="486E2D88" w:rsidR="00082CE8" w:rsidRPr="00082CE8" w:rsidRDefault="00082CE8" w:rsidP="00082CE8">
      <w:pPr>
        <w:pStyle w:val="Guidance"/>
        <w:numPr>
          <w:ilvl w:val="0"/>
          <w:numId w:val="10"/>
        </w:numPr>
        <w:rPr>
          <w:i w:val="0"/>
        </w:rPr>
      </w:pPr>
      <w:r w:rsidRPr="00082CE8">
        <w:rPr>
          <w:i w:val="0"/>
        </w:rPr>
        <w:t>Intelligent Data Fusion (5.3): Robots collaborate for real-time data fusion, efficiently sharing information based on different levels of data integration. This includes applications such as underwater sensor networks, where precise and timely data exchange is crucial.</w:t>
      </w:r>
    </w:p>
    <w:p w14:paraId="163043C0" w14:textId="2CA811F1" w:rsidR="00082CE8" w:rsidRPr="00082CE8" w:rsidRDefault="00082CE8" w:rsidP="00082CE8">
      <w:pPr>
        <w:pStyle w:val="Guidance"/>
        <w:numPr>
          <w:ilvl w:val="0"/>
          <w:numId w:val="10"/>
        </w:numPr>
        <w:rPr>
          <w:i w:val="0"/>
        </w:rPr>
      </w:pPr>
      <w:r w:rsidRPr="00082CE8">
        <w:rPr>
          <w:i w:val="0"/>
        </w:rPr>
        <w:t>Visual Sensors in Service Robots (5.4): Robots equipped with advanced visual sensors focus on indoor surveillance and transportation. They detect incidents and share data to enhance situational awareness and improve response times in various settings.</w:t>
      </w:r>
    </w:p>
    <w:p w14:paraId="2FBC619A" w14:textId="10DBC6FE" w:rsidR="00082CE8" w:rsidRPr="00082CE8" w:rsidRDefault="00082CE8" w:rsidP="00082CE8">
      <w:pPr>
        <w:pStyle w:val="Guidance"/>
        <w:numPr>
          <w:ilvl w:val="0"/>
          <w:numId w:val="10"/>
        </w:numPr>
        <w:rPr>
          <w:i w:val="0"/>
        </w:rPr>
      </w:pPr>
      <w:r w:rsidRPr="00082CE8">
        <w:rPr>
          <w:i w:val="0"/>
        </w:rPr>
        <w:t>Robots in Care Communities (5.5): Robots assist in crime prevention, emergency response, and general care within communities. Their presence improves safety and provides support, particularly in vulnerable areas.</w:t>
      </w:r>
    </w:p>
    <w:p w14:paraId="3522A9C9" w14:textId="3B9F7790" w:rsidR="00082CE8" w:rsidRPr="00082CE8" w:rsidRDefault="00082CE8" w:rsidP="00082CE8">
      <w:pPr>
        <w:pStyle w:val="Guidance"/>
        <w:numPr>
          <w:ilvl w:val="0"/>
          <w:numId w:val="10"/>
        </w:numPr>
        <w:rPr>
          <w:i w:val="0"/>
        </w:rPr>
      </w:pPr>
      <w:r w:rsidRPr="00082CE8">
        <w:rPr>
          <w:i w:val="0"/>
        </w:rPr>
        <w:t>Voicebots for Accessibility (5.6): Voicebots help individuals access services through advanced speech-to-text processing and voice call capabilities, making services more accessible to those with disabilities or other communication barriers.</w:t>
      </w:r>
    </w:p>
    <w:p w14:paraId="3F25A326" w14:textId="66515657" w:rsidR="00082CE8" w:rsidRPr="00082CE8" w:rsidRDefault="00082CE8" w:rsidP="00082CE8">
      <w:pPr>
        <w:pStyle w:val="Guidance"/>
        <w:numPr>
          <w:ilvl w:val="0"/>
          <w:numId w:val="10"/>
        </w:numPr>
        <w:rPr>
          <w:i w:val="0"/>
        </w:rPr>
      </w:pPr>
      <w:r w:rsidRPr="00082CE8">
        <w:rPr>
          <w:i w:val="0"/>
        </w:rPr>
        <w:t>Geo-surface Sensing and Computing (5.7): Geo-surface sensing applications utilize Multi-access Edge Computing (MEC) for navigation and interaction, enabling precise and efficient operations in various terrains and environments.</w:t>
      </w:r>
    </w:p>
    <w:p w14:paraId="3EDAD848" w14:textId="60A2387A" w:rsidR="00FF31B7" w:rsidRPr="00082CE8" w:rsidRDefault="00082CE8" w:rsidP="000C6F65">
      <w:pPr>
        <w:pStyle w:val="Guidance"/>
        <w:numPr>
          <w:ilvl w:val="0"/>
          <w:numId w:val="10"/>
        </w:numPr>
        <w:rPr>
          <w:i w:val="0"/>
        </w:rPr>
      </w:pPr>
      <w:r w:rsidRPr="00082CE8">
        <w:rPr>
          <w:i w:val="0"/>
        </w:rPr>
        <w:t>Mining Robotics (5.8): Robots undertake diverse roles in mining operations, enhancing safety and efficiency in extreme conditions. They are designed to withstand harsh environments while performing tasks critical to mining processes.</w:t>
      </w:r>
    </w:p>
    <w:p w14:paraId="51486C44" w14:textId="77777777" w:rsidR="008847FA" w:rsidRPr="008847FA" w:rsidRDefault="008847FA" w:rsidP="00FF31B7">
      <w:pPr>
        <w:pStyle w:val="Guidance"/>
        <w:rPr>
          <w:i w:val="0"/>
          <w:color w:val="FF0000"/>
        </w:rPr>
      </w:pPr>
    </w:p>
    <w:p w14:paraId="4F907A37" w14:textId="44B5E1EE" w:rsidR="00FF31B7" w:rsidRPr="00FF31B7" w:rsidRDefault="00FF31B7" w:rsidP="00FF31B7">
      <w:pPr>
        <w:pStyle w:val="Guidance"/>
        <w:rPr>
          <w:i w:val="0"/>
        </w:rPr>
      </w:pPr>
      <w:r w:rsidRPr="00FF31B7">
        <w:rPr>
          <w:i w:val="0"/>
        </w:rPr>
        <w:t xml:space="preserve">However, </w:t>
      </w:r>
      <w:r>
        <w:rPr>
          <w:i w:val="0"/>
        </w:rPr>
        <w:t>along with</w:t>
      </w:r>
      <w:r w:rsidRPr="00FF31B7">
        <w:rPr>
          <w:i w:val="0"/>
        </w:rPr>
        <w:t xml:space="preserve"> the observed and anticipated population aging (</w:t>
      </w:r>
      <w:r>
        <w:rPr>
          <w:i w:val="0"/>
        </w:rPr>
        <w:t xml:space="preserve">Reference: </w:t>
      </w:r>
      <w:r w:rsidRPr="00FF31B7">
        <w:rPr>
          <w:i w:val="0"/>
        </w:rPr>
        <w:t xml:space="preserve">United Nations: Population Ageing), there are specific areas where the telecom industry can still generate value by carefully architecting and designing next-generation communication systems. These systems should be capable of supporting the operations of local and remote </w:t>
      </w:r>
      <w:r w:rsidRPr="00FF31B7">
        <w:rPr>
          <w:i w:val="0"/>
        </w:rPr>
        <w:lastRenderedPageBreak/>
        <w:t>physical systems, whether autonomous or semi-autonomous with communication support, and with or without human intervention.</w:t>
      </w:r>
    </w:p>
    <w:p w14:paraId="057277E7" w14:textId="47274F34" w:rsidR="00FF31B7" w:rsidRDefault="00FF31B7" w:rsidP="00FF31B7">
      <w:pPr>
        <w:pStyle w:val="Guidance"/>
        <w:rPr>
          <w:i w:val="0"/>
        </w:rPr>
      </w:pPr>
      <w:r w:rsidRPr="00FF31B7">
        <w:rPr>
          <w:i w:val="0"/>
        </w:rPr>
        <w:t xml:space="preserve">The following areas are still evolving within the context of next-generation mobile communications and applications, offering benefits for end-users, including both human users and non-human users (e.g., IoT or </w:t>
      </w:r>
      <w:r>
        <w:rPr>
          <w:i w:val="0"/>
        </w:rPr>
        <w:t xml:space="preserve">Internet of </w:t>
      </w:r>
      <w:r w:rsidRPr="00FF31B7">
        <w:rPr>
          <w:i w:val="0"/>
        </w:rPr>
        <w:t>intelligent things)</w:t>
      </w:r>
      <w:r>
        <w:rPr>
          <w:i w:val="0"/>
        </w:rPr>
        <w:t xml:space="preserve"> (Reference: ATIS Next G Alliance</w:t>
      </w:r>
      <w:r w:rsidR="00612AB4">
        <w:rPr>
          <w:i w:val="0"/>
        </w:rPr>
        <w:t xml:space="preserve"> Applications Working Group</w:t>
      </w:r>
      <w:r>
        <w:rPr>
          <w:i w:val="0"/>
        </w:rPr>
        <w:t>)</w:t>
      </w:r>
      <w:r w:rsidRPr="00FF31B7">
        <w:rPr>
          <w:i w:val="0"/>
        </w:rPr>
        <w:t>:</w:t>
      </w:r>
    </w:p>
    <w:p w14:paraId="74388940" w14:textId="77777777" w:rsidR="00FF31B7" w:rsidRPr="00FF31B7" w:rsidRDefault="00FF31B7" w:rsidP="00FF31B7">
      <w:pPr>
        <w:pStyle w:val="Guidance"/>
        <w:numPr>
          <w:ilvl w:val="0"/>
          <w:numId w:val="11"/>
        </w:numPr>
        <w:rPr>
          <w:i w:val="0"/>
        </w:rPr>
      </w:pPr>
      <w:r w:rsidRPr="00FF31B7">
        <w:rPr>
          <w:i w:val="0"/>
        </w:rPr>
        <w:t>Living: Smart assisted-living, travel, and shopping.</w:t>
      </w:r>
    </w:p>
    <w:p w14:paraId="37F65675" w14:textId="77777777" w:rsidR="00FF31B7" w:rsidRPr="00FF31B7" w:rsidRDefault="00FF31B7" w:rsidP="00FF31B7">
      <w:pPr>
        <w:pStyle w:val="Guidance"/>
        <w:numPr>
          <w:ilvl w:val="0"/>
          <w:numId w:val="11"/>
        </w:numPr>
        <w:rPr>
          <w:i w:val="0"/>
        </w:rPr>
      </w:pPr>
      <w:r w:rsidRPr="00FF31B7">
        <w:rPr>
          <w:i w:val="0"/>
        </w:rPr>
        <w:t>Experience: Robotic-assisted entertainment.</w:t>
      </w:r>
    </w:p>
    <w:p w14:paraId="005FAA3D" w14:textId="77777777" w:rsidR="00FF31B7" w:rsidRPr="00FF31B7" w:rsidRDefault="00FF31B7" w:rsidP="00FF31B7">
      <w:pPr>
        <w:pStyle w:val="Guidance"/>
        <w:numPr>
          <w:ilvl w:val="0"/>
          <w:numId w:val="11"/>
        </w:numPr>
        <w:rPr>
          <w:i w:val="0"/>
        </w:rPr>
      </w:pPr>
      <w:r w:rsidRPr="00FF31B7">
        <w:rPr>
          <w:i w:val="0"/>
        </w:rPr>
        <w:t>Critical Roles: Smart agriculture, public safety, and disaster relief.</w:t>
      </w:r>
    </w:p>
    <w:p w14:paraId="71129091" w14:textId="77777777" w:rsidR="00FF31B7" w:rsidRPr="00FF31B7" w:rsidRDefault="00FF31B7" w:rsidP="00FF31B7">
      <w:pPr>
        <w:pStyle w:val="Guidance"/>
        <w:numPr>
          <w:ilvl w:val="0"/>
          <w:numId w:val="11"/>
        </w:numPr>
        <w:rPr>
          <w:i w:val="0"/>
        </w:rPr>
      </w:pPr>
      <w:r w:rsidRPr="00FF31B7">
        <w:rPr>
          <w:i w:val="0"/>
        </w:rPr>
        <w:t>Societal Goals: Safety measures for workers in extreme conditions.</w:t>
      </w:r>
    </w:p>
    <w:p w14:paraId="738762A4" w14:textId="3382D43F" w:rsidR="00612AB4" w:rsidRDefault="00612AB4" w:rsidP="00612AB4">
      <w:pPr>
        <w:pStyle w:val="Guidance"/>
        <w:jc w:val="center"/>
        <w:rPr>
          <w:i w:val="0"/>
        </w:rPr>
      </w:pPr>
      <w:r w:rsidRPr="00612AB4">
        <w:rPr>
          <w:i w:val="0"/>
          <w:lang w:val="en-US"/>
        </w:rPr>
        <w:drawing>
          <wp:inline distT="0" distB="0" distL="0" distR="0" wp14:anchorId="3D1534A7" wp14:editId="4C2F218F">
            <wp:extent cx="2780137" cy="2751826"/>
            <wp:effectExtent l="0" t="0" r="127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8"/>
                    <a:stretch>
                      <a:fillRect/>
                    </a:stretch>
                  </pic:blipFill>
                  <pic:spPr>
                    <a:xfrm>
                      <a:off x="0" y="0"/>
                      <a:ext cx="2836361" cy="2807478"/>
                    </a:xfrm>
                    <a:prstGeom prst="rect">
                      <a:avLst/>
                    </a:prstGeom>
                  </pic:spPr>
                </pic:pic>
              </a:graphicData>
            </a:graphic>
          </wp:inline>
        </w:drawing>
      </w:r>
    </w:p>
    <w:p w14:paraId="70410389" w14:textId="77777777" w:rsidR="00FF31B7" w:rsidRDefault="00FF31B7" w:rsidP="00FF31B7">
      <w:pPr>
        <w:pStyle w:val="Guidance"/>
        <w:rPr>
          <w:i w:val="0"/>
        </w:rPr>
      </w:pPr>
      <w:r w:rsidRPr="00FF31B7">
        <w:rPr>
          <w:i w:val="0"/>
        </w:rPr>
        <w:t>Given the compelling scenarios and diverse requirements, it is recommended to conduct further research to thoroughly examine and document the support provided by 3GPP 5G and/or next-generation systems for groups of service robots across various usage scenarios.</w:t>
      </w:r>
    </w:p>
    <w:p w14:paraId="3CF02049" w14:textId="77777777" w:rsidR="00507ECE" w:rsidRDefault="00507ECE" w:rsidP="00FF31B7">
      <w:pPr>
        <w:pStyle w:val="Guidance"/>
        <w:rPr>
          <w:i w:val="0"/>
        </w:rPr>
      </w:pPr>
      <w:r w:rsidRPr="00507ECE">
        <w:rPr>
          <w:i w:val="0"/>
        </w:rPr>
        <w:t>According to the 3GPP Stage 1 Workshop on IMT2030 Use Cases, there is a strong emphasis on 'population aging,' which might lead to a significant labor shortage in society, especially in areas such as everyday living, education, healthcare, manufacturing, logistics, and transportation (both ground and aerial mobility). Motivated by such driving factors in significant geographical regions worldwide, it is important to study what portion of the future market opportunity the telco ecosystem could contribute to.</w:t>
      </w:r>
    </w:p>
    <w:p w14:paraId="7C5F8C05" w14:textId="77777777" w:rsidR="00507ECE" w:rsidRDefault="00507ECE" w:rsidP="00FF31B7">
      <w:pPr>
        <w:pStyle w:val="Guidance"/>
        <w:rPr>
          <w:i w:val="0"/>
        </w:rPr>
      </w:pPr>
    </w:p>
    <w:p w14:paraId="66BC82A0" w14:textId="6313743F" w:rsidR="00FF31B7" w:rsidRDefault="00FF31B7" w:rsidP="00FF31B7">
      <w:pPr>
        <w:pStyle w:val="Guidance"/>
        <w:rPr>
          <w:i w:val="0"/>
        </w:rPr>
      </w:pPr>
      <w:r w:rsidRPr="00FF31B7">
        <w:rPr>
          <w:i w:val="0"/>
        </w:rPr>
        <w:t>NOTE: Extreme networking conditions, in-vehicle, machine-to-machine intelligent multimodal communication (M2Mim), UAM</w:t>
      </w:r>
    </w:p>
    <w:p w14:paraId="68EC347A" w14:textId="77777777" w:rsidR="00FF31B7" w:rsidRDefault="00FF31B7" w:rsidP="00FF31B7">
      <w:pPr>
        <w:pStyle w:val="Guidance"/>
        <w:rPr>
          <w:i w:val="0"/>
        </w:rPr>
      </w:pPr>
    </w:p>
    <w:p w14:paraId="48A60BEE" w14:textId="77777777" w:rsidR="00FF31B7" w:rsidRPr="00A20504" w:rsidRDefault="00FF31B7" w:rsidP="00FF31B7">
      <w:pPr>
        <w:pStyle w:val="Guidance"/>
        <w:rPr>
          <w:i w:val="0"/>
        </w:rPr>
      </w:pPr>
    </w:p>
    <w:p w14:paraId="293AA72B" w14:textId="77777777" w:rsidR="001E489F" w:rsidRPr="006C2E80" w:rsidRDefault="001E489F" w:rsidP="001E489F"/>
    <w:p w14:paraId="2EA5D90C" w14:textId="15492FD4" w:rsidR="00D12EDF" w:rsidRPr="00D12EDF" w:rsidRDefault="00D12EDF" w:rsidP="00D12EDF">
      <w:pPr>
        <w:pStyle w:val="Guidance"/>
        <w:numPr>
          <w:ilvl w:val="0"/>
          <w:numId w:val="15"/>
        </w:numPr>
        <w:rPr>
          <w:i w:val="0"/>
          <w:sz w:val="32"/>
        </w:rPr>
      </w:pPr>
      <w:r>
        <w:rPr>
          <w:i w:val="0"/>
          <w:sz w:val="32"/>
        </w:rPr>
        <w:t>Topics of Interests</w:t>
      </w:r>
    </w:p>
    <w:p w14:paraId="588A4092" w14:textId="77777777" w:rsidR="001B7947" w:rsidRDefault="001B7947" w:rsidP="00B928D0">
      <w:pPr>
        <w:tabs>
          <w:tab w:val="num" w:pos="720"/>
        </w:tabs>
        <w:spacing w:afterLines="50" w:after="120"/>
        <w:jc w:val="both"/>
      </w:pPr>
    </w:p>
    <w:p w14:paraId="43C2067B" w14:textId="02E3F934" w:rsidR="00B928D0" w:rsidRPr="00A47CB2" w:rsidRDefault="00507ECE" w:rsidP="00B928D0">
      <w:pPr>
        <w:tabs>
          <w:tab w:val="num" w:pos="720"/>
        </w:tabs>
        <w:spacing w:afterLines="50" w:after="120"/>
        <w:jc w:val="both"/>
        <w:rPr>
          <w:lang w:eastAsia="zh-CN"/>
        </w:rPr>
      </w:pPr>
      <w:r w:rsidRPr="00507ECE">
        <w:t>The potential topics in the area of the so-called 'Internet of Smart and Collaborative Physical Systems'</w:t>
      </w:r>
      <w:r w:rsidR="00787771">
        <w:t xml:space="preserve"> (IoX)</w:t>
      </w:r>
      <w:r w:rsidRPr="00507ECE">
        <w:t xml:space="preserve"> (which includes, but is not limited to, Intelligent </w:t>
      </w:r>
      <w:r w:rsidR="00787771">
        <w:t>Mobility as a Service (IMaaS)</w:t>
      </w:r>
      <w:r w:rsidRPr="00507ECE">
        <w:t>, connected vehicles, remote-controlled ground/aerial vehicles/robots, and collaborative operations of vehicle groups or robot groups, such as collaborative robots/cobots and networks of service robots</w:t>
      </w:r>
      <w:r w:rsidR="00787771">
        <w:t xml:space="preserve"> supported by Ambient Intelligence (AmI) / Artificial General Intelligence (AGI)</w:t>
      </w:r>
      <w:r w:rsidRPr="00507ECE">
        <w:t>) are to further evaluate the outcomes of the Release 19 Study and to identify use cases and aspects related to efficient communication services and cooperative operations for the Internet of Smart and Collaborative Physical Systems in various areas and industry verticals that were not previously covered, including:</w:t>
      </w:r>
      <w:r w:rsidR="00B928D0" w:rsidRPr="00A47CB2">
        <w:t xml:space="preserve"> </w:t>
      </w:r>
    </w:p>
    <w:p w14:paraId="057F667E"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collaborative robots (cobots): functional requirements and KPIs to support cooperative networking among cobots (as a UE, a UE relay, mobile base station relay, and base station)</w:t>
      </w:r>
    </w:p>
    <w:p w14:paraId="282AF71C" w14:textId="28A642FB" w:rsidR="00B3558C" w:rsidRDefault="00B3558C"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lastRenderedPageBreak/>
        <w:t>urban air mobility (UAM): UAM mission-specific network resource selection, efficient management of communication routes among communication nodes accessible in a given 3D network</w:t>
      </w:r>
      <w:r w:rsidR="00787771">
        <w:rPr>
          <w:rFonts w:eastAsia="Malgun Gothic"/>
          <w:lang w:val="en-US" w:eastAsia="ko-KR"/>
        </w:rPr>
        <w:t xml:space="preserve"> (including NTN); enhanced communication service availability against potential disruption factors under critical conditions (e.g., using NTN)</w:t>
      </w:r>
    </w:p>
    <w:p w14:paraId="038BA008"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efficient communication support for delivery robots sharing public roads with vehicles and pedestrians</w:t>
      </w:r>
    </w:p>
    <w:p w14:paraId="1E87057C" w14:textId="250C2E04"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multimodal sensor sharing within a group of </w:t>
      </w:r>
      <w:r w:rsidR="004B2142">
        <w:rPr>
          <w:rFonts w:eastAsia="Malgun Gothic"/>
          <w:lang w:eastAsia="ko-KR"/>
        </w:rPr>
        <w:t>smart and collaborative physical systems</w:t>
      </w:r>
      <w:r w:rsidR="004B2142">
        <w:rPr>
          <w:rFonts w:eastAsia="Malgun Gothic"/>
          <w:lang w:val="en-US" w:eastAsia="ko-KR"/>
        </w:rPr>
        <w:t xml:space="preserve"> </w:t>
      </w:r>
      <w:r>
        <w:rPr>
          <w:rFonts w:eastAsia="Malgun Gothic"/>
          <w:lang w:val="en-US" w:eastAsia="ko-KR"/>
        </w:rPr>
        <w:t>when all, some or none of the robots are connected to a third party server (e.g., edge/cloud)</w:t>
      </w:r>
    </w:p>
    <w:p w14:paraId="7F5FF321" w14:textId="6B62B367" w:rsidR="00B928D0" w:rsidRDefault="00B928D0" w:rsidP="00054190">
      <w:pPr>
        <w:tabs>
          <w:tab w:val="num" w:pos="1440"/>
        </w:tabs>
        <w:spacing w:after="120"/>
        <w:ind w:left="1440" w:right="-96"/>
        <w:rPr>
          <w:rFonts w:eastAsia="Malgun Gothic"/>
          <w:lang w:val="en-US" w:eastAsia="ko-KR"/>
        </w:rPr>
      </w:pPr>
      <w:r>
        <w:rPr>
          <w:rFonts w:eastAsia="Malgun Gothic"/>
          <w:lang w:val="en-US" w:eastAsia="ko-KR"/>
        </w:rPr>
        <w:t>NOTE 1: For sharing, it is assumed that each substream of multimodal sensor data has different time-bound requirements at the application layer.</w:t>
      </w:r>
      <w:bookmarkStart w:id="1" w:name="_GoBack"/>
      <w:bookmarkEnd w:id="1"/>
    </w:p>
    <w:p w14:paraId="1EFF2915" w14:textId="0536322C" w:rsidR="00B928D0" w:rsidRDefault="00B928D0" w:rsidP="00573724">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efficient communication support for sensor fusion using multiple </w:t>
      </w:r>
      <w:r w:rsidR="00573724">
        <w:rPr>
          <w:rFonts w:eastAsia="Malgun Gothic"/>
          <w:lang w:val="en-US" w:eastAsia="ko-KR"/>
        </w:rPr>
        <w:t>IoX</w:t>
      </w:r>
      <w:r>
        <w:rPr>
          <w:rFonts w:eastAsia="Malgun Gothic"/>
          <w:lang w:val="en-US" w:eastAsia="ko-KR"/>
        </w:rPr>
        <w:t xml:space="preserve"> applications</w:t>
      </w:r>
      <w:r w:rsidR="00573724">
        <w:rPr>
          <w:rFonts w:eastAsia="Malgun Gothic"/>
          <w:lang w:val="en-US" w:eastAsia="ko-KR"/>
        </w:rPr>
        <w:t xml:space="preserve"> (e.g., </w:t>
      </w:r>
      <w:r w:rsidR="00573724" w:rsidRPr="00573724">
        <w:rPr>
          <w:rFonts w:eastAsia="Malgun Gothic"/>
          <w:lang w:val="en-US" w:eastAsia="ko-KR"/>
        </w:rPr>
        <w:t>IMaaS, robotic, and IoT multi-sensory applications</w:t>
      </w:r>
      <w:r w:rsidR="00573724">
        <w:rPr>
          <w:rFonts w:eastAsia="Malgun Gothic"/>
          <w:lang w:val="en-US" w:eastAsia="ko-KR"/>
        </w:rPr>
        <w:t>)</w:t>
      </w:r>
      <w:r>
        <w:rPr>
          <w:rFonts w:eastAsia="Malgun Gothic"/>
          <w:lang w:val="en-US" w:eastAsia="ko-KR"/>
        </w:rPr>
        <w:t xml:space="preserve">: </w:t>
      </w:r>
    </w:p>
    <w:p w14:paraId="0B2F8772" w14:textId="791CA31C" w:rsidR="00573724" w:rsidRDefault="00573724" w:rsidP="00573724">
      <w:pPr>
        <w:numPr>
          <w:ilvl w:val="2"/>
          <w:numId w:val="12"/>
        </w:numPr>
        <w:overflowPunct w:val="0"/>
        <w:autoSpaceDE w:val="0"/>
        <w:autoSpaceDN w:val="0"/>
        <w:adjustRightInd w:val="0"/>
        <w:spacing w:after="120"/>
        <w:ind w:right="-96"/>
        <w:textAlignment w:val="baseline"/>
        <w:rPr>
          <w:rFonts w:eastAsia="Malgun Gothic"/>
          <w:lang w:val="en-US" w:eastAsia="ko-KR"/>
        </w:rPr>
      </w:pPr>
      <w:r w:rsidRPr="00573724">
        <w:rPr>
          <w:rFonts w:eastAsia="Malgun Gothic"/>
          <w:lang w:val="en-US" w:eastAsia="ko-KR"/>
        </w:rPr>
        <w:t>Operations for IoX Support over NPN (single or multiple NPNs)</w:t>
      </w:r>
    </w:p>
    <w:p w14:paraId="3DD7DA47"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service continuity of an indirect network connection using multiple indirect network connection paths for a single traffic flow (both functional aspects and KPIs related to various levels of applications needs), </w:t>
      </w:r>
    </w:p>
    <w:p w14:paraId="1CDDB2DB"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exposure of information between </w:t>
      </w:r>
      <w:r w:rsidRPr="002516BB">
        <w:rPr>
          <w:rFonts w:eastAsia="Malgun Gothic"/>
          <w:lang w:val="en-US" w:eastAsia="ko-KR"/>
        </w:rPr>
        <w:t>application layer and communications layer</w:t>
      </w:r>
      <w:r>
        <w:rPr>
          <w:rFonts w:eastAsia="Malgun Gothic"/>
          <w:lang w:val="en-US" w:eastAsia="ko-KR"/>
        </w:rPr>
        <w:t xml:space="preserve"> (e.g., over a single path or multiple paths), </w:t>
      </w:r>
    </w:p>
    <w:p w14:paraId="002345F7"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communication interruption that degrades application-layer performance (e.g., sensor fusion, real-time data collection and dissemination) when all, some or none of multiple robots playing sensing roles are served by 3GPP networks</w:t>
      </w:r>
    </w:p>
    <w:p w14:paraId="643FD65E"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2: The term “sensor fusion” includes fusion of data/input from multisensory applications and multimodal applications.</w:t>
      </w:r>
    </w:p>
    <w:p w14:paraId="000FB27D"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3: The case of “multiple robotic applications” includes machine-type communication where machines / robots have partial or full functionality of automation themselves.</w:t>
      </w:r>
    </w:p>
    <w:p w14:paraId="753F1B35"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efficient communication support for wide-area sensing (e.g., monitoring farmland, wildlife using aerial robotic applications using UAVs) with intelligence across different communication entities</w:t>
      </w:r>
    </w:p>
    <w:p w14:paraId="1103AA22" w14:textId="77777777" w:rsidR="00B928D0" w:rsidRPr="0030332C"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sidRPr="003A6964">
        <w:rPr>
          <w:rFonts w:eastAsia="Malgun Gothic"/>
          <w:lang w:val="en-US" w:eastAsia="ko-KR"/>
        </w:rPr>
        <w:t>support of scalable</w:t>
      </w:r>
      <w:r>
        <w:rPr>
          <w:rFonts w:eastAsia="Malgun Gothic"/>
          <w:lang w:val="en-US" w:eastAsia="ko-KR"/>
        </w:rPr>
        <w:t xml:space="preserve"> and</w:t>
      </w:r>
      <w:r w:rsidRPr="003A6964">
        <w:rPr>
          <w:rFonts w:eastAsia="Malgun Gothic"/>
          <w:lang w:val="en-US" w:eastAsia="ko-KR"/>
        </w:rPr>
        <w:t xml:space="preserve"> efficient use</w:t>
      </w:r>
      <w:r w:rsidRPr="0030332C">
        <w:rPr>
          <w:rFonts w:eastAsia="Malgun Gothic"/>
          <w:lang w:val="en-US" w:eastAsia="ko-KR"/>
        </w:rPr>
        <w:t xml:space="preserve"> of </w:t>
      </w:r>
      <w:r>
        <w:rPr>
          <w:rFonts w:eastAsia="Malgun Gothic"/>
          <w:lang w:val="en-US" w:eastAsia="ko-KR"/>
        </w:rPr>
        <w:t>communication</w:t>
      </w:r>
      <w:r w:rsidRPr="0030332C">
        <w:rPr>
          <w:rFonts w:eastAsia="Malgun Gothic"/>
          <w:lang w:val="en-US" w:eastAsia="ko-KR"/>
        </w:rPr>
        <w:t xml:space="preserve"> resources </w:t>
      </w:r>
      <w:r>
        <w:rPr>
          <w:rFonts w:eastAsia="Malgun Gothic"/>
          <w:lang w:val="en-US" w:eastAsia="ko-KR"/>
        </w:rPr>
        <w:t xml:space="preserve">needed </w:t>
      </w:r>
      <w:r w:rsidRPr="0030332C">
        <w:rPr>
          <w:rFonts w:eastAsia="Malgun Gothic"/>
          <w:lang w:val="en-US" w:eastAsia="ko-KR"/>
        </w:rPr>
        <w:t>for stable</w:t>
      </w:r>
      <w:r>
        <w:rPr>
          <w:rFonts w:eastAsia="Malgun Gothic"/>
          <w:lang w:val="en-US" w:eastAsia="ko-KR"/>
        </w:rPr>
        <w:t xml:space="preserve"> </w:t>
      </w:r>
      <w:r w:rsidRPr="007C7A68">
        <w:rPr>
          <w:rFonts w:eastAsia="Malgun Gothic"/>
          <w:lang w:val="en-US" w:eastAsia="ko-KR"/>
        </w:rPr>
        <w:t>operation of multiple service robots especially when a large number of service robots are present</w:t>
      </w:r>
      <w:r w:rsidRPr="0030332C">
        <w:rPr>
          <w:rFonts w:eastAsia="Malgun Gothic"/>
          <w:lang w:val="en-US" w:eastAsia="ko-KR"/>
        </w:rPr>
        <w:t xml:space="preserve"> </w:t>
      </w:r>
    </w:p>
    <w:p w14:paraId="54A28E6D"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4: It is intended to cover aspects and scenarios that are not covered by prior study.</w:t>
      </w:r>
    </w:p>
    <w:p w14:paraId="7B3ECEA6" w14:textId="77777777" w:rsidR="00B928D0" w:rsidRPr="001E7C72" w:rsidRDefault="00B928D0" w:rsidP="00B928D0">
      <w:pPr>
        <w:numPr>
          <w:ilvl w:val="1"/>
          <w:numId w:val="12"/>
        </w:numPr>
        <w:tabs>
          <w:tab w:val="num" w:pos="1440"/>
        </w:tabs>
        <w:overflowPunct w:val="0"/>
        <w:autoSpaceDE w:val="0"/>
        <w:autoSpaceDN w:val="0"/>
        <w:adjustRightInd w:val="0"/>
        <w:spacing w:after="120"/>
        <w:ind w:right="-96"/>
        <w:textAlignment w:val="baseline"/>
        <w:rPr>
          <w:lang w:val="en-US" w:eastAsia="zh-CN"/>
        </w:rPr>
      </w:pPr>
      <w:r>
        <w:rPr>
          <w:lang w:val="en-US" w:eastAsia="zh-CN"/>
        </w:rPr>
        <w:t>KPIs for the respective categories of use cases</w:t>
      </w:r>
    </w:p>
    <w:p w14:paraId="338ABB74" w14:textId="77777777" w:rsidR="00B928D0" w:rsidRPr="008221A6" w:rsidRDefault="00B928D0" w:rsidP="00B928D0">
      <w:pPr>
        <w:numPr>
          <w:ilvl w:val="1"/>
          <w:numId w:val="12"/>
        </w:numPr>
        <w:tabs>
          <w:tab w:val="num" w:pos="1440"/>
        </w:tabs>
        <w:overflowPunct w:val="0"/>
        <w:autoSpaceDE w:val="0"/>
        <w:autoSpaceDN w:val="0"/>
        <w:adjustRightInd w:val="0"/>
        <w:spacing w:after="120"/>
        <w:ind w:right="-96"/>
        <w:textAlignment w:val="baseline"/>
        <w:rPr>
          <w:lang w:val="en-US" w:eastAsia="zh-CN"/>
        </w:rPr>
      </w:pPr>
      <w:r>
        <w:rPr>
          <w:rFonts w:eastAsia="Malgun Gothic"/>
          <w:lang w:eastAsia="ko-KR"/>
        </w:rPr>
        <w:t>aspects related to</w:t>
      </w:r>
      <w:r w:rsidRPr="008221A6">
        <w:rPr>
          <w:rFonts w:eastAsia="Malgun Gothic"/>
          <w:lang w:eastAsia="ko-KR"/>
        </w:rPr>
        <w:t xml:space="preserve"> security</w:t>
      </w:r>
      <w:r>
        <w:rPr>
          <w:rFonts w:eastAsia="Malgun Gothic"/>
          <w:lang w:eastAsia="ko-KR"/>
        </w:rPr>
        <w:t>, privacy and charging</w:t>
      </w:r>
    </w:p>
    <w:p w14:paraId="6C46226F" w14:textId="77777777" w:rsidR="00B928D0" w:rsidRDefault="00B928D0" w:rsidP="00B928D0">
      <w:pPr>
        <w:pStyle w:val="ListParagraph"/>
        <w:rPr>
          <w:lang w:eastAsia="ko-KR"/>
        </w:rPr>
      </w:pPr>
      <w:r>
        <w:rPr>
          <w:lang w:eastAsia="ko-KR"/>
        </w:rPr>
        <w:t xml:space="preserve"> </w:t>
      </w:r>
    </w:p>
    <w:p w14:paraId="59A3FF99" w14:textId="4DAA3383" w:rsidR="00B928D0" w:rsidRPr="00D12EDF" w:rsidRDefault="00B928D0" w:rsidP="00D12EDF">
      <w:pPr>
        <w:tabs>
          <w:tab w:val="num" w:pos="1440"/>
        </w:tabs>
        <w:spacing w:after="120"/>
        <w:ind w:right="-96"/>
        <w:rPr>
          <w:rFonts w:eastAsia="Malgun Gothic"/>
          <w:lang w:val="en-US" w:eastAsia="ko-KR"/>
        </w:rPr>
      </w:pPr>
      <w:r w:rsidRPr="00D12EDF">
        <w:rPr>
          <w:rFonts w:eastAsia="Malgun Gothic"/>
          <w:lang w:val="en-US" w:eastAsia="ko-KR"/>
        </w:rPr>
        <w:t xml:space="preserve">NOTE 5: </w:t>
      </w:r>
      <w:r w:rsidR="007C0FAE">
        <w:rPr>
          <w:rFonts w:eastAsia="Malgun Gothic"/>
          <w:lang w:val="en-US" w:eastAsia="ko-KR"/>
        </w:rPr>
        <w:t xml:space="preserve">The set of the aforementioned topics </w:t>
      </w:r>
      <w:r w:rsidRPr="00D12EDF">
        <w:rPr>
          <w:rFonts w:eastAsia="Malgun Gothic"/>
          <w:lang w:val="en-US" w:eastAsia="ko-KR"/>
        </w:rPr>
        <w:t xml:space="preserve">encompasses various types of </w:t>
      </w:r>
      <w:r w:rsidR="007C0FAE">
        <w:rPr>
          <w:rFonts w:eastAsia="Malgun Gothic"/>
          <w:lang w:val="en-US" w:eastAsia="ko-KR"/>
        </w:rPr>
        <w:t xml:space="preserve">vehicles, vehicular applications, factory/commercial </w:t>
      </w:r>
      <w:r w:rsidRPr="00D12EDF">
        <w:rPr>
          <w:rFonts w:eastAsia="Malgun Gothic"/>
          <w:lang w:val="en-US" w:eastAsia="ko-KR"/>
        </w:rPr>
        <w:t xml:space="preserve">robots and/or robotic applications, as in the previous </w:t>
      </w:r>
      <w:r w:rsidR="007C0FAE">
        <w:rPr>
          <w:rFonts w:eastAsia="Malgun Gothic"/>
          <w:lang w:val="en-US" w:eastAsia="ko-KR"/>
        </w:rPr>
        <w:t>research activity (including 3GPP R19 FS_SOBOT)</w:t>
      </w:r>
      <w:r w:rsidRPr="00D12EDF">
        <w:rPr>
          <w:rFonts w:eastAsia="Malgun Gothic"/>
          <w:lang w:val="en-US" w:eastAsia="ko-KR"/>
        </w:rPr>
        <w:t>, such as ground robots, aerial robots, and underwater robots (including those under the ground or on the water surface).</w:t>
      </w:r>
    </w:p>
    <w:p w14:paraId="58DD7AEF" w14:textId="77777777" w:rsidR="00B928D0" w:rsidRDefault="00B928D0" w:rsidP="001E489F">
      <w:pPr>
        <w:pStyle w:val="Guidance"/>
        <w:rPr>
          <w:lang w:val="en-US"/>
        </w:rPr>
      </w:pPr>
    </w:p>
    <w:p w14:paraId="1337B3B3" w14:textId="7DCCF0A5" w:rsidR="001B7947" w:rsidRPr="00602E65" w:rsidRDefault="001B7947" w:rsidP="001B7947">
      <w:pPr>
        <w:pStyle w:val="Guidance"/>
        <w:rPr>
          <w:b/>
          <w:lang w:val="en-US"/>
        </w:rPr>
      </w:pPr>
      <w:r>
        <w:rPr>
          <w:b/>
          <w:lang w:val="en-US"/>
        </w:rPr>
        <w:t>Usage Scenarios</w:t>
      </w:r>
      <w:r w:rsidRPr="00602E65">
        <w:rPr>
          <w:b/>
          <w:lang w:val="en-US"/>
        </w:rPr>
        <w:t xml:space="preserve"> of </w:t>
      </w:r>
      <w:r w:rsidR="00694370">
        <w:rPr>
          <w:b/>
          <w:lang w:val="en-US"/>
        </w:rPr>
        <w:t>IoX</w:t>
      </w:r>
      <w:r w:rsidRPr="00602E65">
        <w:rPr>
          <w:b/>
          <w:lang w:val="en-US"/>
        </w:rPr>
        <w:t xml:space="preserve"> by their Location/Altitude:</w:t>
      </w:r>
    </w:p>
    <w:p w14:paraId="5AF5A448" w14:textId="39D1D83B" w:rsidR="001B7947" w:rsidRDefault="001B7947" w:rsidP="001B7947">
      <w:pPr>
        <w:pStyle w:val="Guidance"/>
        <w:rPr>
          <w:lang w:val="en-US"/>
        </w:rPr>
      </w:pPr>
      <w:r>
        <w:rPr>
          <w:lang w:val="en-US"/>
        </w:rPr>
        <w:t>Aerial Usage Scenario: Air</w:t>
      </w:r>
      <w:r w:rsidR="00694370">
        <w:rPr>
          <w:lang w:val="en-US"/>
        </w:rPr>
        <w:t>2</w:t>
      </w:r>
      <w:r>
        <w:rPr>
          <w:lang w:val="en-US"/>
        </w:rPr>
        <w:t>Air, Air2Ground, Air2Water (on water surface, and/or in a shallow water)</w:t>
      </w:r>
    </w:p>
    <w:p w14:paraId="1CAC3839" w14:textId="77777777" w:rsidR="001B7947" w:rsidRDefault="001B7947" w:rsidP="001B7947">
      <w:pPr>
        <w:pStyle w:val="Guidance"/>
        <w:rPr>
          <w:lang w:val="en-US"/>
        </w:rPr>
      </w:pPr>
      <w:r>
        <w:rPr>
          <w:lang w:val="en-US"/>
        </w:rPr>
        <w:t>Ground Usage Scenario: includes both on geo-surface and underground environments (such as mining with primary focus on wireless communications along the pathway of mining tunnels and secondary focus on wireless communications between a ground station and devices dwelling in an underground environment)</w:t>
      </w:r>
    </w:p>
    <w:p w14:paraId="15F5A2EC" w14:textId="77777777" w:rsidR="001B7947" w:rsidRPr="00D12EDF" w:rsidRDefault="001B7947" w:rsidP="001B7947">
      <w:pPr>
        <w:pStyle w:val="Guidance"/>
        <w:rPr>
          <w:lang w:val="en-US"/>
        </w:rPr>
      </w:pPr>
      <w:r>
        <w:rPr>
          <w:lang w:val="en-US"/>
        </w:rPr>
        <w:t xml:space="preserve">Underwater Usage scenario: due to the nature of the need, this category includes wireless communications between on water surface and on </w:t>
      </w:r>
    </w:p>
    <w:p w14:paraId="0B7804C4" w14:textId="77777777" w:rsidR="001B7947" w:rsidRDefault="001B7947" w:rsidP="001B7947">
      <w:pPr>
        <w:pStyle w:val="Guidance"/>
      </w:pPr>
    </w:p>
    <w:p w14:paraId="165B7C31" w14:textId="093D799E" w:rsidR="001B7947" w:rsidRPr="004747A9" w:rsidRDefault="001B7947" w:rsidP="001B7947">
      <w:pPr>
        <w:pStyle w:val="Guidance"/>
        <w:rPr>
          <w:b/>
        </w:rPr>
      </w:pPr>
      <w:r w:rsidRPr="004747A9">
        <w:rPr>
          <w:b/>
        </w:rPr>
        <w:t>Verticals that relevant to</w:t>
      </w:r>
      <w:r w:rsidRPr="004747A9">
        <w:rPr>
          <w:b/>
        </w:rPr>
        <w:t xml:space="preserve"> IoX: </w:t>
      </w:r>
    </w:p>
    <w:p w14:paraId="6756D530" w14:textId="426128C0" w:rsidR="001B7947" w:rsidRDefault="001B7947" w:rsidP="001B7947">
      <w:pPr>
        <w:pStyle w:val="Guidance"/>
      </w:pPr>
      <w:r>
        <w:t>Living (</w:t>
      </w:r>
      <w:r w:rsidR="00694370">
        <w:t xml:space="preserve">incl. </w:t>
      </w:r>
      <w:r>
        <w:t xml:space="preserve">Assisted Living), </w:t>
      </w:r>
      <w:r w:rsidR="004747A9">
        <w:t xml:space="preserve">Advanced Mobility, </w:t>
      </w:r>
      <w:r>
        <w:t>Manufacturing</w:t>
      </w:r>
      <w:r w:rsidR="004747A9">
        <w:t xml:space="preserve">, Agriculture, Public Safety, </w:t>
      </w:r>
    </w:p>
    <w:p w14:paraId="0299A594" w14:textId="77777777" w:rsidR="00694370" w:rsidRDefault="00694370" w:rsidP="001B7947">
      <w:pPr>
        <w:pStyle w:val="Guidance"/>
      </w:pPr>
    </w:p>
    <w:p w14:paraId="4EB824FD" w14:textId="7869817E" w:rsidR="001B7947" w:rsidRPr="00602E65" w:rsidRDefault="001B7947" w:rsidP="001B7947">
      <w:pPr>
        <w:pStyle w:val="Guidance"/>
        <w:rPr>
          <w:b/>
        </w:rPr>
      </w:pPr>
      <w:r w:rsidRPr="00602E65">
        <w:rPr>
          <w:b/>
        </w:rPr>
        <w:t xml:space="preserve">Types of </w:t>
      </w:r>
      <w:r w:rsidR="00694370">
        <w:rPr>
          <w:b/>
        </w:rPr>
        <w:t>“X”</w:t>
      </w:r>
      <w:r w:rsidRPr="00602E65">
        <w:rPr>
          <w:b/>
        </w:rPr>
        <w:t>:</w:t>
      </w:r>
    </w:p>
    <w:p w14:paraId="096FD8CD" w14:textId="77777777" w:rsidR="001B7947" w:rsidRDefault="001B7947" w:rsidP="001B7947">
      <w:pPr>
        <w:pStyle w:val="Guidance"/>
      </w:pPr>
      <w:r>
        <w:lastRenderedPageBreak/>
        <w:t>Robots (Service Robots with Ambient Intelligence, Artificial General Intelligence (AGI),</w:t>
      </w:r>
      <w:r w:rsidRPr="0020468C">
        <w:t xml:space="preserve"> Delivery Robots (Ground/Aerial), Hazardous Control Robots</w:t>
      </w:r>
    </w:p>
    <w:p w14:paraId="22DCF09D" w14:textId="29527581" w:rsidR="001B7947" w:rsidRDefault="001B7947" w:rsidP="001B7947">
      <w:pPr>
        <w:pStyle w:val="Guidance"/>
      </w:pPr>
      <w:r>
        <w:t>Aerial Vehicles (with primary focus on UAM with no passengers (</w:t>
      </w:r>
      <w:r w:rsidR="00694370">
        <w:t>or</w:t>
      </w:r>
      <w:r>
        <w:t xml:space="preserve"> heavy duty cargo drones) and secondar</w:t>
      </w:r>
      <w:r w:rsidR="00446BE4">
        <w:t>y focus on UAM with passengers)</w:t>
      </w:r>
      <w:r>
        <w:t xml:space="preserve"> </w:t>
      </w:r>
    </w:p>
    <w:p w14:paraId="11077D19" w14:textId="25C97956" w:rsidR="001B7947" w:rsidRPr="00446BE4" w:rsidRDefault="00446BE4" w:rsidP="001B7947">
      <w:pPr>
        <w:pStyle w:val="Guidance"/>
        <w:rPr>
          <w:i w:val="0"/>
        </w:rPr>
      </w:pPr>
      <w:r w:rsidRPr="00446BE4">
        <w:rPr>
          <w:i w:val="0"/>
        </w:rPr>
        <w:t xml:space="preserve">NOTE 6: </w:t>
      </w:r>
      <w:r w:rsidR="00970A24">
        <w:rPr>
          <w:i w:val="0"/>
        </w:rPr>
        <w:t>Considering the expectation on market needs, p</w:t>
      </w:r>
      <w:r w:rsidRPr="00446BE4">
        <w:rPr>
          <w:i w:val="0"/>
        </w:rPr>
        <w:t>rimary focus means the first or early release of 6G whereas secondary focus releases that follow.</w:t>
      </w:r>
    </w:p>
    <w:p w14:paraId="5FEFAEDA" w14:textId="77777777" w:rsidR="001B7947" w:rsidRPr="00446BE4" w:rsidRDefault="001B7947" w:rsidP="001E489F">
      <w:pPr>
        <w:pStyle w:val="Guidance"/>
        <w:rPr>
          <w:i w:val="0"/>
        </w:rPr>
      </w:pPr>
    </w:p>
    <w:p w14:paraId="0913BE56" w14:textId="77777777" w:rsidR="001B7947" w:rsidRPr="00446BE4" w:rsidRDefault="001B7947" w:rsidP="001E489F">
      <w:pPr>
        <w:pStyle w:val="Guidance"/>
        <w:rPr>
          <w:i w:val="0"/>
          <w:lang w:val="en-US"/>
        </w:rPr>
      </w:pPr>
    </w:p>
    <w:p w14:paraId="55799440" w14:textId="77777777" w:rsidR="001B7947" w:rsidRPr="00B928D0" w:rsidRDefault="001B7947" w:rsidP="001E489F">
      <w:pPr>
        <w:pStyle w:val="Guidance"/>
        <w:rPr>
          <w:lang w:val="en-US"/>
        </w:rPr>
      </w:pPr>
    </w:p>
    <w:sectPr w:rsidR="001B7947" w:rsidRPr="00B928D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7E030" w14:textId="77777777" w:rsidR="00FC2259" w:rsidRDefault="00FC2259">
      <w:r>
        <w:separator/>
      </w:r>
    </w:p>
  </w:endnote>
  <w:endnote w:type="continuationSeparator" w:id="0">
    <w:p w14:paraId="5945CDBD" w14:textId="77777777" w:rsidR="00FC2259" w:rsidRDefault="00FC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Batang"/>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66F02" w14:textId="77777777" w:rsidR="00FC2259" w:rsidRDefault="00FC2259">
      <w:r>
        <w:separator/>
      </w:r>
    </w:p>
  </w:footnote>
  <w:footnote w:type="continuationSeparator" w:id="0">
    <w:p w14:paraId="0ECF836C" w14:textId="77777777" w:rsidR="00FC2259" w:rsidRDefault="00FC22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A0256"/>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B4636AA"/>
    <w:multiLevelType w:val="hybridMultilevel"/>
    <w:tmpl w:val="BDCCD75E"/>
    <w:lvl w:ilvl="0" w:tplc="9C70F2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37E5B2B"/>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BF6A44"/>
    <w:multiLevelType w:val="hybridMultilevel"/>
    <w:tmpl w:val="FE34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474469"/>
    <w:multiLevelType w:val="hybridMultilevel"/>
    <w:tmpl w:val="A84E381C"/>
    <w:lvl w:ilvl="0" w:tplc="9C70F2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641206"/>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10"/>
  </w:num>
  <w:num w:numId="10">
    <w:abstractNumId w:val="11"/>
  </w:num>
  <w:num w:numId="11">
    <w:abstractNumId w:val="5"/>
  </w:num>
  <w:num w:numId="12">
    <w:abstractNumId w:val="13"/>
  </w:num>
  <w:num w:numId="13">
    <w:abstractNumId w:val="9"/>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65F"/>
    <w:rsid w:val="00005E54"/>
    <w:rsid w:val="0002191A"/>
    <w:rsid w:val="0003016C"/>
    <w:rsid w:val="00030CD4"/>
    <w:rsid w:val="000344A1"/>
    <w:rsid w:val="00036BE8"/>
    <w:rsid w:val="00042051"/>
    <w:rsid w:val="00046686"/>
    <w:rsid w:val="00046FDD"/>
    <w:rsid w:val="000475F1"/>
    <w:rsid w:val="00050925"/>
    <w:rsid w:val="00054190"/>
    <w:rsid w:val="00054884"/>
    <w:rsid w:val="0005594E"/>
    <w:rsid w:val="00057E1E"/>
    <w:rsid w:val="0006182E"/>
    <w:rsid w:val="0006619D"/>
    <w:rsid w:val="000726EB"/>
    <w:rsid w:val="00072A7C"/>
    <w:rsid w:val="000775E7"/>
    <w:rsid w:val="0007775C"/>
    <w:rsid w:val="00082CE8"/>
    <w:rsid w:val="00094F23"/>
    <w:rsid w:val="00095388"/>
    <w:rsid w:val="000967F4"/>
    <w:rsid w:val="000A6432"/>
    <w:rsid w:val="000B7021"/>
    <w:rsid w:val="000D6D78"/>
    <w:rsid w:val="000D7039"/>
    <w:rsid w:val="000E0429"/>
    <w:rsid w:val="000E0437"/>
    <w:rsid w:val="000F6E51"/>
    <w:rsid w:val="000F7726"/>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947"/>
    <w:rsid w:val="001C4D9B"/>
    <w:rsid w:val="001D0B09"/>
    <w:rsid w:val="001E489F"/>
    <w:rsid w:val="001E6729"/>
    <w:rsid w:val="001F7653"/>
    <w:rsid w:val="0020468C"/>
    <w:rsid w:val="002070CB"/>
    <w:rsid w:val="00217958"/>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97E8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4CD3"/>
    <w:rsid w:val="003420DD"/>
    <w:rsid w:val="00354553"/>
    <w:rsid w:val="00360D4E"/>
    <w:rsid w:val="003715B7"/>
    <w:rsid w:val="00376C60"/>
    <w:rsid w:val="00392C87"/>
    <w:rsid w:val="003A0FA9"/>
    <w:rsid w:val="003A5FFA"/>
    <w:rsid w:val="003A67E1"/>
    <w:rsid w:val="003A7108"/>
    <w:rsid w:val="003C2E34"/>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D3A"/>
    <w:rsid w:val="00432048"/>
    <w:rsid w:val="00442C65"/>
    <w:rsid w:val="00446BE4"/>
    <w:rsid w:val="00451122"/>
    <w:rsid w:val="004518DB"/>
    <w:rsid w:val="00455B2A"/>
    <w:rsid w:val="004562FC"/>
    <w:rsid w:val="004747A9"/>
    <w:rsid w:val="00477EBC"/>
    <w:rsid w:val="00482246"/>
    <w:rsid w:val="00484421"/>
    <w:rsid w:val="00491391"/>
    <w:rsid w:val="00497F38"/>
    <w:rsid w:val="004A01BD"/>
    <w:rsid w:val="004A0A73"/>
    <w:rsid w:val="004A180A"/>
    <w:rsid w:val="004A661C"/>
    <w:rsid w:val="004B2142"/>
    <w:rsid w:val="004C4C9B"/>
    <w:rsid w:val="004D2FA0"/>
    <w:rsid w:val="004E1010"/>
    <w:rsid w:val="004F4172"/>
    <w:rsid w:val="0050202A"/>
    <w:rsid w:val="00507903"/>
    <w:rsid w:val="00507ECE"/>
    <w:rsid w:val="0052032E"/>
    <w:rsid w:val="00521896"/>
    <w:rsid w:val="00522A80"/>
    <w:rsid w:val="00535A39"/>
    <w:rsid w:val="00544D8F"/>
    <w:rsid w:val="00553BDE"/>
    <w:rsid w:val="00556F13"/>
    <w:rsid w:val="00562495"/>
    <w:rsid w:val="00573724"/>
    <w:rsid w:val="0057401B"/>
    <w:rsid w:val="00577727"/>
    <w:rsid w:val="005777AF"/>
    <w:rsid w:val="00586562"/>
    <w:rsid w:val="00587754"/>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65"/>
    <w:rsid w:val="00612AB4"/>
    <w:rsid w:val="00616E18"/>
    <w:rsid w:val="006177EC"/>
    <w:rsid w:val="00620287"/>
    <w:rsid w:val="00623AED"/>
    <w:rsid w:val="0062580F"/>
    <w:rsid w:val="00632157"/>
    <w:rsid w:val="00633971"/>
    <w:rsid w:val="006341C6"/>
    <w:rsid w:val="0064121E"/>
    <w:rsid w:val="00642894"/>
    <w:rsid w:val="00657AF7"/>
    <w:rsid w:val="00660354"/>
    <w:rsid w:val="006606DB"/>
    <w:rsid w:val="00665B9B"/>
    <w:rsid w:val="0067616E"/>
    <w:rsid w:val="00690725"/>
    <w:rsid w:val="00693606"/>
    <w:rsid w:val="00693D70"/>
    <w:rsid w:val="006943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87771"/>
    <w:rsid w:val="00791B51"/>
    <w:rsid w:val="00795AD1"/>
    <w:rsid w:val="007B5456"/>
    <w:rsid w:val="007B5F65"/>
    <w:rsid w:val="007C0FAE"/>
    <w:rsid w:val="007C767B"/>
    <w:rsid w:val="007D3C7C"/>
    <w:rsid w:val="007D687A"/>
    <w:rsid w:val="007E1BA0"/>
    <w:rsid w:val="007F2297"/>
    <w:rsid w:val="007F55EC"/>
    <w:rsid w:val="007F6574"/>
    <w:rsid w:val="00824FC2"/>
    <w:rsid w:val="00831057"/>
    <w:rsid w:val="00837EF8"/>
    <w:rsid w:val="0084119C"/>
    <w:rsid w:val="00850CD4"/>
    <w:rsid w:val="0085141C"/>
    <w:rsid w:val="00854A49"/>
    <w:rsid w:val="0085642B"/>
    <w:rsid w:val="008578D0"/>
    <w:rsid w:val="008624DE"/>
    <w:rsid w:val="008634EB"/>
    <w:rsid w:val="00866945"/>
    <w:rsid w:val="00876BD5"/>
    <w:rsid w:val="008847FA"/>
    <w:rsid w:val="00897C84"/>
    <w:rsid w:val="008A06BE"/>
    <w:rsid w:val="008A56FD"/>
    <w:rsid w:val="008B14BB"/>
    <w:rsid w:val="008D3DA6"/>
    <w:rsid w:val="008D5DA3"/>
    <w:rsid w:val="008E0A15"/>
    <w:rsid w:val="008E70F7"/>
    <w:rsid w:val="008F0042"/>
    <w:rsid w:val="008F1D3B"/>
    <w:rsid w:val="008F7444"/>
    <w:rsid w:val="008F7A15"/>
    <w:rsid w:val="0091321C"/>
    <w:rsid w:val="00913788"/>
    <w:rsid w:val="0091399A"/>
    <w:rsid w:val="00920A46"/>
    <w:rsid w:val="00922D75"/>
    <w:rsid w:val="00926791"/>
    <w:rsid w:val="0093661C"/>
    <w:rsid w:val="00940736"/>
    <w:rsid w:val="00941253"/>
    <w:rsid w:val="0095038B"/>
    <w:rsid w:val="00950CF7"/>
    <w:rsid w:val="00960A44"/>
    <w:rsid w:val="00970864"/>
    <w:rsid w:val="00970A2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0504"/>
    <w:rsid w:val="00A24557"/>
    <w:rsid w:val="00A248B2"/>
    <w:rsid w:val="00A267D7"/>
    <w:rsid w:val="00A27A64"/>
    <w:rsid w:val="00A3089A"/>
    <w:rsid w:val="00A37F80"/>
    <w:rsid w:val="00A46B3F"/>
    <w:rsid w:val="00A46F30"/>
    <w:rsid w:val="00A5418D"/>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558C"/>
    <w:rsid w:val="00B376E0"/>
    <w:rsid w:val="00B43DA4"/>
    <w:rsid w:val="00B44E96"/>
    <w:rsid w:val="00B45C31"/>
    <w:rsid w:val="00B47534"/>
    <w:rsid w:val="00B50B89"/>
    <w:rsid w:val="00B52AFB"/>
    <w:rsid w:val="00B5557E"/>
    <w:rsid w:val="00B63284"/>
    <w:rsid w:val="00B75CE0"/>
    <w:rsid w:val="00B84B54"/>
    <w:rsid w:val="00B85FCC"/>
    <w:rsid w:val="00B928D0"/>
    <w:rsid w:val="00B92B0A"/>
    <w:rsid w:val="00B92C7D"/>
    <w:rsid w:val="00B93BB2"/>
    <w:rsid w:val="00B9697B"/>
    <w:rsid w:val="00BA46C7"/>
    <w:rsid w:val="00BA4DA4"/>
    <w:rsid w:val="00BB229F"/>
    <w:rsid w:val="00BB6D15"/>
    <w:rsid w:val="00BB7B45"/>
    <w:rsid w:val="00BC137E"/>
    <w:rsid w:val="00BC2E5F"/>
    <w:rsid w:val="00BC3C3C"/>
    <w:rsid w:val="00BC481E"/>
    <w:rsid w:val="00BC5AF6"/>
    <w:rsid w:val="00BD3369"/>
    <w:rsid w:val="00BD3E51"/>
    <w:rsid w:val="00BE3E87"/>
    <w:rsid w:val="00BF0A84"/>
    <w:rsid w:val="00BF4326"/>
    <w:rsid w:val="00C021E3"/>
    <w:rsid w:val="00C03706"/>
    <w:rsid w:val="00C03F46"/>
    <w:rsid w:val="00C159BC"/>
    <w:rsid w:val="00C15A54"/>
    <w:rsid w:val="00C2214E"/>
    <w:rsid w:val="00C2362D"/>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9C5"/>
    <w:rsid w:val="00CA149E"/>
    <w:rsid w:val="00CA2B4F"/>
    <w:rsid w:val="00CA5DB0"/>
    <w:rsid w:val="00CC084E"/>
    <w:rsid w:val="00CC58ED"/>
    <w:rsid w:val="00CE67CC"/>
    <w:rsid w:val="00CF1278"/>
    <w:rsid w:val="00D0135E"/>
    <w:rsid w:val="00D05B14"/>
    <w:rsid w:val="00D12ED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A7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CFF"/>
    <w:rsid w:val="00FA5FA5"/>
    <w:rsid w:val="00FA6721"/>
    <w:rsid w:val="00FA7365"/>
    <w:rsid w:val="00FA79A7"/>
    <w:rsid w:val="00FC2259"/>
    <w:rsid w:val="00FC643D"/>
    <w:rsid w:val="00FC72A9"/>
    <w:rsid w:val="00FD1DAF"/>
    <w:rsid w:val="00FE3DCC"/>
    <w:rsid w:val="00FE53C8"/>
    <w:rsid w:val="00FE5FB7"/>
    <w:rsid w:val="00FF31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21795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17958"/>
    <w:pPr>
      <w:spacing w:after="100"/>
      <w:ind w:left="200"/>
    </w:pPr>
  </w:style>
  <w:style w:type="paragraph" w:styleId="BalloonText">
    <w:name w:val="Balloon Text"/>
    <w:basedOn w:val="Normal"/>
    <w:link w:val="BalloonTextChar"/>
    <w:semiHidden/>
    <w:unhideWhenUsed/>
    <w:rsid w:val="00B44E96"/>
    <w:rPr>
      <w:rFonts w:ascii="Segoe UI" w:hAnsi="Segoe UI" w:cs="Segoe UI"/>
      <w:sz w:val="18"/>
      <w:szCs w:val="18"/>
    </w:rPr>
  </w:style>
  <w:style w:type="character" w:customStyle="1" w:styleId="BalloonTextChar">
    <w:name w:val="Balloon Text Char"/>
    <w:basedOn w:val="DefaultParagraphFont"/>
    <w:link w:val="BalloonText"/>
    <w:semiHidden/>
    <w:rsid w:val="00B44E9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Ki-Dong Lee</cp:lastModifiedBy>
  <cp:revision>7</cp:revision>
  <cp:lastPrinted>2024-07-29T21:38:00Z</cp:lastPrinted>
  <dcterms:created xsi:type="dcterms:W3CDTF">2024-08-09T04:54:00Z</dcterms:created>
  <dcterms:modified xsi:type="dcterms:W3CDTF">2024-08-09T04:58:00Z</dcterms:modified>
</cp:coreProperties>
</file>